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R4-2009676</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Discussion on RLM in NR-U</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7.1.5.8</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eastAsia="宋体"/>
          <w:sz w:val="22"/>
          <w:lang w:eastAsia="zh-CN"/>
        </w:rPr>
      </w:pPr>
      <w:r>
        <w:rPr>
          <w:rFonts w:hint="eastAsia" w:eastAsia="宋体"/>
          <w:sz w:val="22"/>
          <w:lang w:val="en-US" w:eastAsia="zh-CN"/>
        </w:rPr>
        <w:t>I</w:t>
      </w:r>
      <w:r>
        <w:rPr>
          <w:rFonts w:hint="eastAsia" w:eastAsia="宋体"/>
          <w:sz w:val="22"/>
          <w:lang w:eastAsia="zh-CN"/>
        </w:rPr>
        <w:t>n RAN4 9</w:t>
      </w:r>
      <w:r>
        <w:rPr>
          <w:rFonts w:hint="eastAsia" w:eastAsia="宋体"/>
          <w:sz w:val="22"/>
          <w:lang w:val="en-US" w:eastAsia="zh-CN"/>
        </w:rPr>
        <w:t>5</w:t>
      </w:r>
      <w:r>
        <w:rPr>
          <w:rFonts w:hint="eastAsia" w:eastAsia="宋体"/>
          <w:sz w:val="22"/>
          <w:lang w:eastAsia="zh-CN"/>
        </w:rPr>
        <w:t>-e</w:t>
      </w:r>
      <w:r>
        <w:rPr>
          <w:rFonts w:hint="eastAsia" w:eastAsia="宋体"/>
          <w:sz w:val="22"/>
          <w:lang w:val="en-US" w:eastAsia="zh-CN"/>
        </w:rPr>
        <w:t>, the WF [1] captures several options below:</w:t>
      </w:r>
      <w:r>
        <w:rPr>
          <w:rFonts w:hint="eastAsia" w:eastAsia="宋体"/>
          <w:sz w:val="22"/>
          <w:lang w:eastAsia="zh-CN"/>
        </w:rPr>
        <w:t xml:space="preserve"> </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overflowPunct w:val="0"/>
              <w:autoSpaceDE w:val="0"/>
              <w:autoSpaceDN w:val="0"/>
              <w:adjustRightInd w:val="0"/>
              <w:spacing w:after="0" w:line="240" w:lineRule="auto"/>
              <w:jc w:val="center"/>
            </w:pPr>
            <w:r>
              <w:drawing>
                <wp:inline distT="0" distB="0" distL="114300" distR="114300">
                  <wp:extent cx="5253990" cy="1825625"/>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53990" cy="1825625"/>
                          </a:xfrm>
                          <a:prstGeom prst="rect">
                            <a:avLst/>
                          </a:prstGeom>
                          <a:noFill/>
                          <a:ln>
                            <a:noFill/>
                          </a:ln>
                        </pic:spPr>
                      </pic:pic>
                    </a:graphicData>
                  </a:graphic>
                </wp:inline>
              </w:drawing>
            </w:r>
          </w:p>
          <w:p>
            <w:pPr>
              <w:overflowPunct w:val="0"/>
              <w:autoSpaceDE w:val="0"/>
              <w:autoSpaceDN w:val="0"/>
              <w:adjustRightInd w:val="0"/>
              <w:spacing w:after="0" w:line="240" w:lineRule="auto"/>
              <w:jc w:val="center"/>
            </w:pPr>
          </w:p>
          <w:p>
            <w:pPr>
              <w:overflowPunct w:val="0"/>
              <w:autoSpaceDE w:val="0"/>
              <w:autoSpaceDN w:val="0"/>
              <w:adjustRightInd w:val="0"/>
              <w:spacing w:after="0" w:line="240" w:lineRule="auto"/>
              <w:jc w:val="center"/>
              <w:rPr>
                <w:lang w:eastAsia="zh-CN"/>
              </w:rPr>
            </w:pPr>
            <w:r>
              <w:drawing>
                <wp:inline distT="0" distB="0" distL="114300" distR="114300">
                  <wp:extent cx="4944110" cy="309943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44110" cy="3099435"/>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eastAsia="宋体"/>
          <w:sz w:val="22"/>
          <w:lang w:eastAsia="zh-CN"/>
        </w:rPr>
      </w:pPr>
    </w:p>
    <w:p>
      <w:pPr>
        <w:overflowPunct w:val="0"/>
        <w:autoSpaceDE w:val="0"/>
        <w:autoSpaceDN w:val="0"/>
        <w:adjustRightInd w:val="0"/>
        <w:spacing w:after="0" w:line="240" w:lineRule="auto"/>
        <w:jc w:val="both"/>
        <w:rPr>
          <w:rFonts w:eastAsia="宋体"/>
          <w:sz w:val="22"/>
          <w:lang w:eastAsia="zh-CN"/>
        </w:rPr>
      </w:pPr>
      <w:r>
        <w:rPr>
          <w:rFonts w:hint="eastAsia" w:eastAsia="宋体"/>
          <w:sz w:val="22"/>
          <w:lang w:eastAsia="zh-CN"/>
        </w:rPr>
        <w:t>In this paper, we tend to discuss this issue</w:t>
      </w:r>
      <w:r>
        <w:rPr>
          <w:rFonts w:hint="eastAsia" w:eastAsia="宋体"/>
          <w:sz w:val="22"/>
          <w:lang w:val="en-US" w:eastAsia="zh-CN"/>
        </w:rPr>
        <w:t>s listed above in the WF</w:t>
      </w:r>
      <w:r>
        <w:rPr>
          <w:rFonts w:hint="eastAsia" w:eastAsia="宋体"/>
          <w:sz w:val="22"/>
          <w:lang w:eastAsia="zh-CN"/>
        </w:rPr>
        <w:t xml:space="preserve"> and provide our view.</w:t>
      </w:r>
    </w:p>
    <w:p>
      <w:pPr>
        <w:pStyle w:val="28"/>
        <w:jc w:val="both"/>
        <w:rPr>
          <w:szCs w:val="22"/>
          <w:lang w:eastAsia="zh-CN"/>
        </w:rPr>
      </w:pPr>
      <w:r>
        <w:t>2</w:t>
      </w:r>
      <w:r>
        <w:tab/>
      </w:r>
      <w:r>
        <w:rPr>
          <w:rFonts w:hint="eastAsia"/>
          <w:lang w:val="en-US" w:eastAsia="zh-CN"/>
        </w:rPr>
        <w:t>RLM in NR-U</w:t>
      </w:r>
    </w:p>
    <w:p>
      <w:pPr>
        <w:pStyle w:val="36"/>
        <w:numPr>
          <w:ilvl w:val="0"/>
          <w:numId w:val="0"/>
        </w:numPr>
        <w:ind w:leftChars="0"/>
        <w:rPr>
          <w:rFonts w:hint="default" w:eastAsia="宋体" w:cs="v4.2.0"/>
          <w:sz w:val="22"/>
          <w:lang w:val="en-US" w:eastAsia="zh-CN"/>
        </w:rPr>
      </w:pPr>
      <w:r>
        <w:rPr>
          <w:rFonts w:hint="eastAsia" w:eastAsia="宋体" w:cs="v4.2.0"/>
          <w:b w:val="0"/>
          <w:bCs/>
          <w:sz w:val="22"/>
          <w:lang w:eastAsia="zh-CN"/>
        </w:rPr>
        <w:t xml:space="preserve">As to </w:t>
      </w:r>
      <w:r>
        <w:rPr>
          <w:rFonts w:hint="eastAsia" w:eastAsia="宋体" w:cs="v4.2.0"/>
          <w:b w:val="0"/>
          <w:bCs/>
          <w:sz w:val="22"/>
          <w:lang w:val="en-US" w:eastAsia="zh-CN"/>
        </w:rPr>
        <w:t>the threshold to judge if the UE is able to distinguish unavailable RLM-RS, we agree to use the value -7 dB the same as the in-sync threshold. There were proposals during the last meeting that the threshold to be determined based on simulations. However, we don</w:t>
      </w:r>
      <w:r>
        <w:rPr>
          <w:rFonts w:hint="default" w:eastAsia="宋体" w:cs="v4.2.0"/>
          <w:b w:val="0"/>
          <w:bCs/>
          <w:sz w:val="22"/>
          <w:lang w:val="en-US" w:eastAsia="zh-CN"/>
        </w:rPr>
        <w:t>’</w:t>
      </w:r>
      <w:r>
        <w:rPr>
          <w:rFonts w:hint="eastAsia" w:eastAsia="宋体" w:cs="v4.2.0"/>
          <w:b w:val="0"/>
          <w:bCs/>
          <w:sz w:val="22"/>
          <w:lang w:val="en-US" w:eastAsia="zh-CN"/>
        </w:rPr>
        <w:t>t think this is a good approach since it would require one to two meetings to agree on the simulation assumptions and another several meetings to finally agree on the value of the threshold.</w:t>
      </w:r>
    </w:p>
    <w:p>
      <w:pPr>
        <w:pStyle w:val="36"/>
        <w:rPr>
          <w:rFonts w:eastAsia="宋体" w:cs="v4.2.0"/>
          <w:szCs w:val="22"/>
          <w:lang w:eastAsia="zh-CN"/>
        </w:rPr>
      </w:pPr>
      <w:r>
        <w:rPr>
          <w:rFonts w:hint="eastAsia" w:eastAsia="宋体"/>
          <w:szCs w:val="22"/>
          <w:lang w:eastAsia="zh-CN"/>
        </w:rPr>
        <w:t>UE is not able to distinguish the unavailable RLM-RS for Es/Iot ≤ -7dB in NR-U</w:t>
      </w:r>
      <w:r>
        <w:rPr>
          <w:rFonts w:hint="eastAsia" w:eastAsia="宋体" w:cs="v4.2.0"/>
          <w:szCs w:val="22"/>
          <w:lang w:eastAsia="zh-CN"/>
        </w:rPr>
        <w:t>.</w:t>
      </w:r>
    </w:p>
    <w:p>
      <w:pPr>
        <w:rPr>
          <w:rFonts w:hint="default" w:eastAsia="宋体" w:cs="v4.2.0"/>
          <w:b w:val="0"/>
          <w:bCs/>
          <w:sz w:val="22"/>
          <w:lang w:val="en-US" w:eastAsia="zh-CN"/>
        </w:rPr>
      </w:pPr>
      <w:r>
        <w:rPr>
          <w:rFonts w:hint="eastAsia" w:eastAsia="宋体" w:cs="v4.2.0"/>
          <w:b w:val="0"/>
          <w:bCs/>
          <w:sz w:val="22"/>
          <w:lang w:eastAsia="zh-CN"/>
        </w:rPr>
        <w:t>As to</w:t>
      </w:r>
      <w:r>
        <w:rPr>
          <w:rFonts w:hint="eastAsia" w:eastAsia="宋体" w:cs="v4.2.0"/>
          <w:b w:val="0"/>
          <w:bCs/>
          <w:sz w:val="22"/>
          <w:lang w:val="en-US" w:eastAsia="zh-CN"/>
        </w:rPr>
        <w:t xml:space="preserve"> how to extend the evaluation period when SNR is lower than -7 dB, we support Option 2 in the WF, which is to extend the evaluation period using a fixed factor L, L being</w:t>
      </w:r>
    </w:p>
    <w:p>
      <w:pPr>
        <w:pStyle w:val="26"/>
        <w:numPr>
          <w:ilvl w:val="3"/>
          <w:numId w:val="6"/>
        </w:numPr>
        <w:overflowPunct w:val="0"/>
        <w:autoSpaceDE w:val="0"/>
        <w:autoSpaceDN w:val="0"/>
        <w:adjustRightInd w:val="0"/>
        <w:textAlignment w:val="baseline"/>
        <w:rPr>
          <w:lang w:val="da-DK"/>
        </w:rPr>
      </w:pPr>
      <w:r>
        <w:rPr>
          <w:lang w:val="da-DK"/>
        </w:rPr>
        <w:t>L = 14 for max(T</w:t>
      </w:r>
      <w:r>
        <w:rPr>
          <w:vertAlign w:val="subscript"/>
          <w:lang w:val="da-DK"/>
        </w:rPr>
        <w:t>SSB</w:t>
      </w:r>
      <w:r>
        <w:rPr>
          <w:lang w:val="da-DK"/>
        </w:rPr>
        <w:t>, T</w:t>
      </w:r>
      <w:r>
        <w:rPr>
          <w:vertAlign w:val="subscript"/>
          <w:lang w:val="da-DK"/>
        </w:rPr>
        <w:t>DRX</w:t>
      </w:r>
      <w:r>
        <w:rPr>
          <w:lang w:val="da-DK"/>
        </w:rPr>
        <w:t xml:space="preserve">) </w:t>
      </w:r>
      <w:r>
        <w:rPr>
          <w:rFonts w:hint="eastAsia"/>
          <w:lang w:val="da-DK"/>
        </w:rPr>
        <w:t>≤</w:t>
      </w:r>
      <w:r>
        <w:rPr>
          <w:lang w:val="da-DK"/>
        </w:rPr>
        <w:t xml:space="preserve"> 40, </w:t>
      </w:r>
    </w:p>
    <w:p>
      <w:pPr>
        <w:pStyle w:val="26"/>
        <w:numPr>
          <w:ilvl w:val="3"/>
          <w:numId w:val="6"/>
        </w:numPr>
        <w:overflowPunct w:val="0"/>
        <w:autoSpaceDE w:val="0"/>
        <w:autoSpaceDN w:val="0"/>
        <w:adjustRightInd w:val="0"/>
        <w:textAlignment w:val="baseline"/>
        <w:rPr>
          <w:lang w:val="da-DK"/>
        </w:rPr>
      </w:pPr>
      <w:r>
        <w:rPr>
          <w:lang w:val="da-DK"/>
        </w:rPr>
        <w:t>L = 10 for 40 &lt;Max(T</w:t>
      </w:r>
      <w:r>
        <w:rPr>
          <w:vertAlign w:val="subscript"/>
          <w:lang w:val="da-DK"/>
        </w:rPr>
        <w:t>DRX</w:t>
      </w:r>
      <w:r>
        <w:rPr>
          <w:lang w:val="da-DK"/>
        </w:rPr>
        <w:t>, T</w:t>
      </w:r>
      <w:r>
        <w:rPr>
          <w:vertAlign w:val="subscript"/>
          <w:lang w:val="da-DK"/>
        </w:rPr>
        <w:t>SSB</w:t>
      </w:r>
      <w:r>
        <w:rPr>
          <w:lang w:val="da-DK"/>
        </w:rPr>
        <w:t>)</w:t>
      </w:r>
      <w:r>
        <w:rPr>
          <w:rFonts w:hint="eastAsia"/>
          <w:lang w:val="da-DK"/>
        </w:rPr>
        <w:t>≤</w:t>
      </w:r>
      <w:r>
        <w:rPr>
          <w:lang w:val="da-DK"/>
        </w:rPr>
        <w:t xml:space="preserve">320 </w:t>
      </w:r>
    </w:p>
    <w:p>
      <w:pPr>
        <w:pStyle w:val="26"/>
        <w:numPr>
          <w:ilvl w:val="3"/>
          <w:numId w:val="6"/>
        </w:numPr>
      </w:pPr>
      <w:r>
        <w:t xml:space="preserve">L = 6 for </w:t>
      </w:r>
      <w:r>
        <w:rPr>
          <w:rFonts w:hint="eastAsia"/>
        </w:rPr>
        <w:t>T</w:t>
      </w:r>
      <w:r>
        <w:rPr>
          <w:rFonts w:hint="eastAsia"/>
          <w:vertAlign w:val="subscript"/>
        </w:rPr>
        <w:t>DRX</w:t>
      </w:r>
      <w:r>
        <w:t xml:space="preserve"> &gt;320</w:t>
      </w:r>
    </w:p>
    <w:p>
      <w:pPr>
        <w:pStyle w:val="36"/>
        <w:rPr>
          <w:rFonts w:hint="eastAsia" w:eastAsia="宋体"/>
          <w:szCs w:val="22"/>
          <w:lang w:eastAsia="zh-CN"/>
        </w:rPr>
      </w:pPr>
      <w:r>
        <w:rPr>
          <w:rFonts w:hint="eastAsia" w:eastAsia="宋体"/>
          <w:szCs w:val="22"/>
          <w:lang w:val="en-US" w:eastAsia="zh-CN"/>
        </w:rPr>
        <w:t>E</w:t>
      </w:r>
      <w:r>
        <w:rPr>
          <w:rFonts w:hint="eastAsia" w:eastAsia="宋体"/>
          <w:szCs w:val="22"/>
          <w:lang w:eastAsia="zh-CN"/>
        </w:rPr>
        <w:t>xtend the evaluation period using a fixed factor L, L being</w:t>
      </w:r>
    </w:p>
    <w:p>
      <w:pPr>
        <w:pStyle w:val="36"/>
        <w:numPr>
          <w:ilvl w:val="0"/>
          <w:numId w:val="0"/>
        </w:numPr>
        <w:ind w:leftChars="0"/>
        <w:rPr>
          <w:rFonts w:hint="eastAsia" w:eastAsia="宋体"/>
          <w:szCs w:val="22"/>
          <w:lang w:eastAsia="zh-CN"/>
        </w:rPr>
      </w:pPr>
      <w:r>
        <w:rPr>
          <w:rFonts w:hint="eastAsia" w:eastAsia="宋体"/>
          <w:szCs w:val="22"/>
          <w:lang w:eastAsia="zh-CN"/>
        </w:rPr>
        <w:t xml:space="preserve">L = 14 for max(TSSB, TDRX) ≤ 40, </w:t>
      </w:r>
    </w:p>
    <w:p>
      <w:pPr>
        <w:pStyle w:val="36"/>
        <w:numPr>
          <w:ilvl w:val="0"/>
          <w:numId w:val="0"/>
        </w:numPr>
        <w:ind w:leftChars="0"/>
        <w:rPr>
          <w:rFonts w:hint="eastAsia" w:eastAsia="宋体"/>
          <w:szCs w:val="22"/>
          <w:lang w:eastAsia="zh-CN"/>
        </w:rPr>
      </w:pPr>
      <w:r>
        <w:rPr>
          <w:rFonts w:hint="eastAsia" w:eastAsia="宋体"/>
          <w:szCs w:val="22"/>
          <w:lang w:eastAsia="zh-CN"/>
        </w:rPr>
        <w:t xml:space="preserve">L = 10 for 40 &lt;Max(TDRX, TSSB)≤320 </w:t>
      </w:r>
    </w:p>
    <w:p>
      <w:pPr>
        <w:pStyle w:val="36"/>
        <w:numPr>
          <w:ilvl w:val="0"/>
          <w:numId w:val="0"/>
        </w:numPr>
        <w:ind w:leftChars="0"/>
        <w:rPr>
          <w:rFonts w:eastAsia="宋体" w:cs="v4.2.0"/>
          <w:szCs w:val="22"/>
          <w:lang w:eastAsia="zh-CN"/>
        </w:rPr>
      </w:pPr>
      <w:r>
        <w:rPr>
          <w:rFonts w:hint="eastAsia" w:eastAsia="宋体"/>
          <w:szCs w:val="22"/>
          <w:lang w:eastAsia="zh-CN"/>
        </w:rPr>
        <w:t>L = 6 for TDRX &gt;320</w:t>
      </w:r>
      <w:r>
        <w:rPr>
          <w:rFonts w:hint="eastAsia" w:eastAsia="宋体" w:cs="v4.2.0"/>
          <w:szCs w:val="22"/>
          <w:lang w:eastAsia="zh-CN"/>
        </w:rPr>
        <w:t>.</w:t>
      </w:r>
    </w:p>
    <w:p>
      <w:pPr>
        <w:rPr>
          <w:rFonts w:hint="eastAsia" w:eastAsia="宋体" w:cs="v4.2.0"/>
          <w:b w:val="0"/>
          <w:bCs/>
          <w:sz w:val="22"/>
          <w:lang w:val="en-US" w:eastAsia="zh-CN"/>
        </w:rPr>
      </w:pPr>
      <w:r>
        <w:rPr>
          <w:rFonts w:hint="eastAsia" w:eastAsia="宋体" w:cs="v4.2.0"/>
          <w:b w:val="0"/>
          <w:bCs/>
          <w:sz w:val="22"/>
          <w:lang w:val="en-US" w:eastAsia="zh-CN"/>
        </w:rPr>
        <w:t>During the last meeting, the definition of SINR is also brought up. This is a good problem to be discussed since the evaluation period depends on the estimated SINR, during which the SINR might change. To make things perfectly clear, we wish to avoid circular definition. Thus, we propose to define the estimated SINR as the SINR of the last available SSB before the evaluation period starts.</w:t>
      </w:r>
    </w:p>
    <w:p>
      <w:pPr>
        <w:pStyle w:val="36"/>
        <w:rPr>
          <w:rFonts w:hint="eastAsia" w:eastAsia="宋体"/>
          <w:szCs w:val="22"/>
          <w:lang w:eastAsia="zh-CN"/>
        </w:rPr>
      </w:pPr>
      <w:r>
        <w:rPr>
          <w:rFonts w:hint="eastAsia" w:eastAsia="宋体"/>
          <w:szCs w:val="22"/>
          <w:lang w:val="en-US" w:eastAsia="zh-CN"/>
        </w:rPr>
        <w:t>Define the estimated SINR as the SINR of the last available SSB before the evaluation period starts.</w:t>
      </w:r>
    </w:p>
    <w:p>
      <w:pPr>
        <w:rPr>
          <w:rFonts w:hint="eastAsia" w:eastAsia="宋体" w:cs="v4.2.0"/>
          <w:b w:val="0"/>
          <w:bCs/>
          <w:sz w:val="22"/>
          <w:lang w:val="en-US" w:eastAsia="zh-CN"/>
        </w:rPr>
      </w:pPr>
      <w:r>
        <w:rPr>
          <w:rFonts w:hint="eastAsia" w:eastAsia="宋体" w:cs="v4.2.0"/>
          <w:b w:val="0"/>
          <w:bCs/>
          <w:sz w:val="22"/>
          <w:lang w:val="en-US" w:eastAsia="zh-CN"/>
        </w:rPr>
        <w:t>When SNR &gt; -7 dB, we propose:</w:t>
      </w:r>
    </w:p>
    <w:p>
      <w:pPr>
        <w:pStyle w:val="26"/>
        <w:numPr>
          <w:ilvl w:val="0"/>
          <w:numId w:val="0"/>
        </w:numPr>
        <w:ind w:left="720" w:leftChars="0" w:firstLine="720" w:firstLineChars="0"/>
      </w:pPr>
      <w:r>
        <w:rPr>
          <w:iCs/>
        </w:rPr>
        <w:t>Evaluation period depends on L</w:t>
      </w:r>
      <w:r>
        <w:rPr>
          <w:iCs/>
          <w:vertAlign w:val="subscript"/>
        </w:rPr>
        <w:t>out</w:t>
      </w:r>
      <w:r>
        <w:t xml:space="preserve"> (L</w:t>
      </w:r>
      <w:r>
        <w:rPr>
          <w:vertAlign w:val="subscript"/>
        </w:rPr>
        <w:t>out</w:t>
      </w:r>
      <w:r>
        <w:t xml:space="preserve"> ≤ L</w:t>
      </w:r>
      <w:r>
        <w:rPr>
          <w:vertAlign w:val="subscript"/>
        </w:rPr>
        <w:t>out,max</w:t>
      </w:r>
      <w:r>
        <w:t>)</w:t>
      </w:r>
      <w:r>
        <w:rPr>
          <w:iCs/>
        </w:rPr>
        <w:t>, where L</w:t>
      </w:r>
      <w:r>
        <w:rPr>
          <w:iCs/>
          <w:vertAlign w:val="subscript"/>
        </w:rPr>
        <w:t>out</w:t>
      </w:r>
      <w:r>
        <w:rPr>
          <w:iCs/>
        </w:rPr>
        <w:t xml:space="preserve"> is the number of SSBs not available at the UE during T</w:t>
      </w:r>
      <w:r>
        <w:rPr>
          <w:iCs/>
          <w:vertAlign w:val="subscript"/>
        </w:rPr>
        <w:t>Evaluate_out_SSB</w:t>
      </w:r>
    </w:p>
    <w:p>
      <w:pPr>
        <w:pStyle w:val="26"/>
        <w:numPr>
          <w:ilvl w:val="3"/>
          <w:numId w:val="6"/>
        </w:numPr>
        <w:overflowPunct w:val="0"/>
        <w:autoSpaceDE w:val="0"/>
        <w:autoSpaceDN w:val="0"/>
        <w:adjustRightInd w:val="0"/>
        <w:ind w:hanging="357"/>
        <w:jc w:val="both"/>
      </w:pPr>
      <w:r>
        <w:t>L</w:t>
      </w:r>
      <w:r>
        <w:rPr>
          <w:vertAlign w:val="subscript"/>
        </w:rPr>
        <w:t>out,max</w:t>
      </w:r>
      <w:r>
        <w:t xml:space="preserve"> = 14 for Max(T</w:t>
      </w:r>
      <w:r>
        <w:rPr>
          <w:vertAlign w:val="subscript"/>
        </w:rPr>
        <w:t>DRX</w:t>
      </w:r>
      <w:r>
        <w:t>,T</w:t>
      </w:r>
      <w:r>
        <w:rPr>
          <w:vertAlign w:val="subscript"/>
        </w:rPr>
        <w:t>SSB</w:t>
      </w:r>
      <w:r>
        <w:t>)≤40 where T</w:t>
      </w:r>
      <w:r>
        <w:rPr>
          <w:vertAlign w:val="subscript"/>
        </w:rPr>
        <w:t>DRX</w:t>
      </w:r>
      <w:r>
        <w:t>=0 for non-DRX</w:t>
      </w:r>
    </w:p>
    <w:p>
      <w:pPr>
        <w:pStyle w:val="26"/>
        <w:numPr>
          <w:ilvl w:val="3"/>
          <w:numId w:val="6"/>
        </w:numPr>
        <w:overflowPunct w:val="0"/>
        <w:autoSpaceDE w:val="0"/>
        <w:autoSpaceDN w:val="0"/>
        <w:adjustRightInd w:val="0"/>
        <w:ind w:hanging="357"/>
        <w:jc w:val="both"/>
      </w:pPr>
      <w:r>
        <w:t>L</w:t>
      </w:r>
      <w:r>
        <w:rPr>
          <w:vertAlign w:val="subscript"/>
        </w:rPr>
        <w:t>out,max</w:t>
      </w:r>
      <w:r>
        <w:t xml:space="preserve"> = 10 for 40&lt;Max(T</w:t>
      </w:r>
      <w:r>
        <w:rPr>
          <w:vertAlign w:val="subscript"/>
        </w:rPr>
        <w:t>DRX</w:t>
      </w:r>
      <w:r>
        <w:t>,T</w:t>
      </w:r>
      <w:r>
        <w:rPr>
          <w:vertAlign w:val="subscript"/>
        </w:rPr>
        <w:t>SSB</w:t>
      </w:r>
      <w:r>
        <w:t>)≤320</w:t>
      </w:r>
    </w:p>
    <w:p>
      <w:pPr>
        <w:pStyle w:val="26"/>
        <w:numPr>
          <w:ilvl w:val="3"/>
          <w:numId w:val="6"/>
        </w:numPr>
        <w:overflowPunct w:val="0"/>
        <w:autoSpaceDE w:val="0"/>
        <w:autoSpaceDN w:val="0"/>
        <w:adjustRightInd w:val="0"/>
        <w:ind w:hanging="357"/>
        <w:jc w:val="both"/>
      </w:pPr>
      <w:r>
        <w:t>L</w:t>
      </w:r>
      <w:r>
        <w:rPr>
          <w:vertAlign w:val="subscript"/>
        </w:rPr>
        <w:t>out,max</w:t>
      </w:r>
      <w:r>
        <w:t xml:space="preserve"> = 6 for T</w:t>
      </w:r>
      <w:r>
        <w:rPr>
          <w:vertAlign w:val="subscript"/>
        </w:rPr>
        <w:t>DRX</w:t>
      </w:r>
      <w:r>
        <w:t>&gt;320</w:t>
      </w:r>
    </w:p>
    <w:p>
      <w:pPr>
        <w:ind w:left="720" w:leftChars="0" w:firstLine="720" w:firstLineChars="0"/>
        <w:rPr>
          <w:rFonts w:hint="default" w:eastAsia="宋体" w:cs="v4.2.0"/>
          <w:b w:val="0"/>
          <w:bCs/>
          <w:sz w:val="22"/>
          <w:lang w:val="en-US" w:eastAsia="zh-CN"/>
        </w:rPr>
      </w:pPr>
      <w:r>
        <w:t>Upon exceeding L</w:t>
      </w:r>
      <w:r>
        <w:rPr>
          <w:vertAlign w:val="subscript"/>
        </w:rPr>
        <w:t>out,max</w:t>
      </w:r>
      <w:r>
        <w:t xml:space="preserve"> for one RLM-RS resource the UE behaviour is the same as if the radio link quality for this RLM-RS resource were below Q</w:t>
      </w:r>
      <w:r>
        <w:rPr>
          <w:vertAlign w:val="subscript"/>
        </w:rPr>
        <w:t>out</w:t>
      </w:r>
      <w:r>
        <w:rPr>
          <w:iCs/>
        </w:rPr>
        <w:t>.</w:t>
      </w:r>
    </w:p>
    <w:p>
      <w:pPr>
        <w:pStyle w:val="36"/>
        <w:rPr>
          <w:rFonts w:hint="eastAsia" w:eastAsia="宋体"/>
          <w:szCs w:val="22"/>
          <w:lang w:val="en-US" w:eastAsia="zh-CN"/>
        </w:rPr>
      </w:pPr>
      <w:r>
        <w:rPr>
          <w:rFonts w:hint="eastAsia" w:eastAsia="宋体"/>
          <w:szCs w:val="22"/>
          <w:lang w:val="en-US" w:eastAsia="zh-CN"/>
        </w:rPr>
        <w:t>When SNR &gt; -7 dB, evaluation period depends on Lout (Lout ≤ Lout,max), where Lout is the number of SSBs not available at the UE during TEvaluate_out_SSB</w:t>
      </w:r>
    </w:p>
    <w:p>
      <w:pPr>
        <w:pStyle w:val="36"/>
        <w:numPr>
          <w:ilvl w:val="0"/>
          <w:numId w:val="0"/>
        </w:numPr>
        <w:ind w:leftChars="0"/>
        <w:rPr>
          <w:rFonts w:hint="eastAsia" w:eastAsia="宋体"/>
          <w:szCs w:val="22"/>
          <w:lang w:val="en-US" w:eastAsia="zh-CN"/>
        </w:rPr>
      </w:pPr>
      <w:r>
        <w:rPr>
          <w:rFonts w:hint="eastAsia" w:eastAsia="宋体"/>
          <w:szCs w:val="22"/>
          <w:lang w:val="en-US" w:eastAsia="zh-CN"/>
        </w:rPr>
        <w:t>Lout,max = 14 for Max(TDRX,TSSB)≤40 where TDRX=0 for non-DRX</w:t>
      </w:r>
    </w:p>
    <w:p>
      <w:pPr>
        <w:pStyle w:val="36"/>
        <w:numPr>
          <w:ilvl w:val="0"/>
          <w:numId w:val="0"/>
        </w:numPr>
        <w:ind w:leftChars="0"/>
        <w:rPr>
          <w:rFonts w:hint="eastAsia" w:eastAsia="宋体"/>
          <w:szCs w:val="22"/>
          <w:lang w:val="en-US" w:eastAsia="zh-CN"/>
        </w:rPr>
      </w:pPr>
      <w:r>
        <w:rPr>
          <w:rFonts w:hint="eastAsia" w:eastAsia="宋体"/>
          <w:szCs w:val="22"/>
          <w:lang w:val="en-US" w:eastAsia="zh-CN"/>
        </w:rPr>
        <w:t>Lout,max = 10 for 40&lt;Max(TDRX,TSSB)≤320</w:t>
      </w:r>
    </w:p>
    <w:p>
      <w:pPr>
        <w:pStyle w:val="36"/>
        <w:numPr>
          <w:ilvl w:val="0"/>
          <w:numId w:val="0"/>
        </w:numPr>
        <w:ind w:leftChars="0"/>
        <w:rPr>
          <w:rFonts w:hint="eastAsia" w:eastAsia="宋体"/>
          <w:szCs w:val="22"/>
          <w:lang w:val="en-US" w:eastAsia="zh-CN"/>
        </w:rPr>
      </w:pPr>
      <w:r>
        <w:rPr>
          <w:rFonts w:hint="eastAsia" w:eastAsia="宋体"/>
          <w:szCs w:val="22"/>
          <w:lang w:val="en-US" w:eastAsia="zh-CN"/>
        </w:rPr>
        <w:t>Lout,max = 6 for TDRX&gt;320</w:t>
      </w:r>
    </w:p>
    <w:p>
      <w:pPr>
        <w:pStyle w:val="36"/>
        <w:numPr>
          <w:ilvl w:val="0"/>
          <w:numId w:val="0"/>
        </w:numPr>
        <w:ind w:leftChars="0"/>
        <w:rPr>
          <w:rFonts w:hint="eastAsia" w:eastAsia="宋体"/>
          <w:szCs w:val="22"/>
          <w:lang w:val="en-US" w:eastAsia="zh-CN"/>
        </w:rPr>
      </w:pPr>
      <w:r>
        <w:rPr>
          <w:rFonts w:hint="eastAsia" w:eastAsia="宋体"/>
          <w:szCs w:val="22"/>
          <w:lang w:val="en-US" w:eastAsia="zh-CN"/>
        </w:rPr>
        <w:t>Upon exceeding Lout,max for one RLM-RS resource the UE behaviour is the same as if the radio link quality for this RLM-RS resource were below Qout.</w:t>
      </w:r>
    </w:p>
    <w:p>
      <w:pPr>
        <w:rPr>
          <w:rFonts w:hint="eastAsia"/>
          <w:sz w:val="22"/>
          <w:szCs w:val="22"/>
          <w:lang w:val="en-US" w:eastAsia="zh-CN"/>
        </w:rPr>
      </w:pPr>
      <w:r>
        <w:rPr>
          <w:rFonts w:hint="eastAsia"/>
          <w:sz w:val="22"/>
          <w:szCs w:val="22"/>
          <w:lang w:val="en-US" w:eastAsia="zh-CN"/>
        </w:rPr>
        <w:t>For CSI-RS based RLM processes, under the current timeline, we think that adopting a similar method as SSB-based RLM process is desirable. The similarities exist in multiple aspects between the two cases and the purpose is the same, thus we think it</w:t>
      </w:r>
      <w:r>
        <w:rPr>
          <w:rFonts w:hint="default"/>
          <w:sz w:val="22"/>
          <w:szCs w:val="22"/>
          <w:lang w:val="en-US" w:eastAsia="zh-CN"/>
        </w:rPr>
        <w:t>’</w:t>
      </w:r>
      <w:r>
        <w:rPr>
          <w:rFonts w:hint="eastAsia"/>
          <w:sz w:val="22"/>
          <w:szCs w:val="22"/>
          <w:lang w:val="en-US" w:eastAsia="zh-CN"/>
        </w:rPr>
        <w:t>s fine to re-use the design for SSB based RLM.</w:t>
      </w:r>
    </w:p>
    <w:p>
      <w:pPr>
        <w:pStyle w:val="36"/>
        <w:rPr>
          <w:rFonts w:hint="eastAsia" w:eastAsia="宋体"/>
          <w:szCs w:val="22"/>
          <w:lang w:val="en-US" w:eastAsia="zh-CN"/>
        </w:rPr>
      </w:pPr>
      <w:r>
        <w:rPr>
          <w:rFonts w:hint="eastAsia" w:eastAsia="宋体"/>
          <w:szCs w:val="22"/>
          <w:lang w:val="en-US" w:eastAsia="zh-CN"/>
        </w:rPr>
        <w:t>For CSI-RS based RLM under NR-U, re-use the designs for SSB based RLM under NR-U.</w:t>
      </w:r>
    </w:p>
    <w:p>
      <w:pPr>
        <w:pStyle w:val="28"/>
        <w:jc w:val="both"/>
      </w:pPr>
      <w:r>
        <w:rPr>
          <w:rFonts w:hint="eastAsia"/>
          <w:lang w:val="en-US" w:eastAsia="zh-CN"/>
        </w:rPr>
        <w:t>3</w:t>
      </w:r>
      <w:r>
        <w:tab/>
      </w:r>
      <w:r>
        <w:t>Conclusion</w:t>
      </w:r>
    </w:p>
    <w:p>
      <w:pPr>
        <w:rPr>
          <w:rFonts w:hint="eastAsia"/>
          <w:b/>
          <w:sz w:val="22"/>
          <w:lang w:eastAsia="zh-CN"/>
        </w:rPr>
      </w:pPr>
      <w:r>
        <w:rPr>
          <w:rFonts w:hint="eastAsia"/>
          <w:b/>
          <w:sz w:val="22"/>
          <w:lang w:eastAsia="zh-CN"/>
        </w:rPr>
        <w:t xml:space="preserve">Proposal </w:t>
      </w:r>
      <w:r>
        <w:rPr>
          <w:rFonts w:hint="eastAsia"/>
          <w:b/>
          <w:sz w:val="22"/>
          <w:lang w:val="en-US" w:eastAsia="zh-CN"/>
        </w:rPr>
        <w:t>1</w:t>
      </w:r>
      <w:r>
        <w:rPr>
          <w:rFonts w:hint="eastAsia"/>
          <w:b/>
          <w:sz w:val="22"/>
          <w:lang w:eastAsia="zh-CN"/>
        </w:rPr>
        <w:t>: UE is not able to distinguish the unavailable RLM-RS for Es/Iot ≤ -7dB in NR-U.</w:t>
      </w:r>
    </w:p>
    <w:p>
      <w:pPr>
        <w:rPr>
          <w:rFonts w:hint="eastAsia"/>
          <w:b/>
          <w:sz w:val="22"/>
          <w:lang w:eastAsia="zh-CN"/>
        </w:rPr>
      </w:pPr>
      <w:r>
        <w:rPr>
          <w:rFonts w:hint="eastAsia"/>
          <w:b/>
          <w:sz w:val="22"/>
          <w:lang w:eastAsia="zh-CN"/>
        </w:rPr>
        <w:t xml:space="preserve">Proposal </w:t>
      </w:r>
      <w:r>
        <w:rPr>
          <w:rFonts w:hint="eastAsia"/>
          <w:b/>
          <w:sz w:val="22"/>
          <w:lang w:val="en-US" w:eastAsia="zh-CN"/>
        </w:rPr>
        <w:t>2</w:t>
      </w:r>
      <w:r>
        <w:rPr>
          <w:rFonts w:hint="eastAsia"/>
          <w:b/>
          <w:sz w:val="22"/>
          <w:lang w:eastAsia="zh-CN"/>
        </w:rPr>
        <w:t>: Proposal 2:Extend the evaluation period using a fixed factor L, L being</w:t>
      </w:r>
    </w:p>
    <w:p>
      <w:pPr>
        <w:rPr>
          <w:rFonts w:hint="eastAsia"/>
          <w:b/>
          <w:sz w:val="22"/>
          <w:lang w:eastAsia="zh-CN"/>
        </w:rPr>
      </w:pPr>
      <w:r>
        <w:rPr>
          <w:rFonts w:hint="eastAsia"/>
          <w:b/>
          <w:sz w:val="22"/>
          <w:lang w:eastAsia="zh-CN"/>
        </w:rPr>
        <w:t xml:space="preserve">L = 14 for max(TSSB, TDRX) ≤ 40, </w:t>
      </w:r>
    </w:p>
    <w:p>
      <w:pPr>
        <w:rPr>
          <w:rFonts w:hint="eastAsia"/>
          <w:b/>
          <w:sz w:val="22"/>
          <w:lang w:eastAsia="zh-CN"/>
        </w:rPr>
      </w:pPr>
      <w:r>
        <w:rPr>
          <w:rFonts w:hint="eastAsia"/>
          <w:b/>
          <w:sz w:val="22"/>
          <w:lang w:eastAsia="zh-CN"/>
        </w:rPr>
        <w:t xml:space="preserve">L = 10 for 40 &lt;Max(TDRX, TSSB)≤320 </w:t>
      </w:r>
    </w:p>
    <w:p>
      <w:pPr>
        <w:rPr>
          <w:rFonts w:hint="eastAsia"/>
          <w:b/>
          <w:sz w:val="22"/>
          <w:lang w:eastAsia="zh-CN"/>
        </w:rPr>
      </w:pPr>
      <w:r>
        <w:rPr>
          <w:rFonts w:hint="eastAsia"/>
          <w:b/>
          <w:sz w:val="22"/>
          <w:lang w:eastAsia="zh-CN"/>
        </w:rPr>
        <w:t>L = 6 for TDRX &gt;320.</w:t>
      </w:r>
    </w:p>
    <w:p>
      <w:pPr>
        <w:rPr>
          <w:rFonts w:hint="eastAsia"/>
          <w:b/>
          <w:sz w:val="22"/>
          <w:lang w:val="en-US" w:eastAsia="zh-CN"/>
        </w:rPr>
      </w:pPr>
      <w:r>
        <w:rPr>
          <w:rFonts w:hint="eastAsia"/>
          <w:b/>
          <w:sz w:val="22"/>
          <w:lang w:eastAsia="zh-CN"/>
        </w:rPr>
        <w:t xml:space="preserve">Proposal </w:t>
      </w:r>
      <w:r>
        <w:rPr>
          <w:rFonts w:hint="eastAsia"/>
          <w:b/>
          <w:sz w:val="22"/>
          <w:lang w:val="en-US" w:eastAsia="zh-CN"/>
        </w:rPr>
        <w:t>3</w:t>
      </w:r>
      <w:r>
        <w:rPr>
          <w:rFonts w:hint="eastAsia"/>
          <w:b/>
          <w:sz w:val="22"/>
          <w:lang w:eastAsia="zh-CN"/>
        </w:rPr>
        <w:t>: Define the estimated SINR as the SINR of the last available SSB before the evaluation period starts</w:t>
      </w:r>
      <w:r>
        <w:rPr>
          <w:rFonts w:hint="eastAsia"/>
          <w:b/>
          <w:sz w:val="22"/>
          <w:lang w:val="en-US" w:eastAsia="zh-CN"/>
        </w:rPr>
        <w:t>.</w:t>
      </w:r>
    </w:p>
    <w:p>
      <w:pPr>
        <w:rPr>
          <w:rFonts w:hint="eastAsia"/>
          <w:b/>
          <w:sz w:val="22"/>
          <w:lang w:eastAsia="zh-CN"/>
        </w:rPr>
      </w:pPr>
      <w:r>
        <w:rPr>
          <w:rFonts w:hint="eastAsia"/>
          <w:b/>
          <w:sz w:val="22"/>
          <w:lang w:eastAsia="zh-CN"/>
        </w:rPr>
        <w:t xml:space="preserve">Proposal </w:t>
      </w:r>
      <w:r>
        <w:rPr>
          <w:rFonts w:hint="eastAsia"/>
          <w:b/>
          <w:sz w:val="22"/>
          <w:lang w:val="en-US" w:eastAsia="zh-CN"/>
        </w:rPr>
        <w:t>4</w:t>
      </w:r>
      <w:r>
        <w:rPr>
          <w:rFonts w:hint="eastAsia"/>
          <w:b/>
          <w:sz w:val="22"/>
          <w:lang w:eastAsia="zh-CN"/>
        </w:rPr>
        <w:t>: When SNR &gt; -7 dB, evaluation period depends on Lout (Lout ≤ Lout,max), where Lout is the number of SSBs not available at the UE during TEvaluate_out_SSB</w:t>
      </w:r>
    </w:p>
    <w:p>
      <w:pPr>
        <w:rPr>
          <w:rFonts w:hint="eastAsia"/>
          <w:b/>
          <w:sz w:val="22"/>
          <w:lang w:eastAsia="zh-CN"/>
        </w:rPr>
      </w:pPr>
      <w:r>
        <w:rPr>
          <w:rFonts w:hint="eastAsia"/>
          <w:b/>
          <w:sz w:val="22"/>
          <w:lang w:eastAsia="zh-CN"/>
        </w:rPr>
        <w:t>Lout,max = 14 for Max(TDRX,TSSB)≤40 where TDRX=0 for non-DRX</w:t>
      </w:r>
    </w:p>
    <w:p>
      <w:pPr>
        <w:rPr>
          <w:rFonts w:hint="eastAsia"/>
          <w:b/>
          <w:sz w:val="22"/>
          <w:lang w:eastAsia="zh-CN"/>
        </w:rPr>
      </w:pPr>
      <w:r>
        <w:rPr>
          <w:rFonts w:hint="eastAsia"/>
          <w:b/>
          <w:sz w:val="22"/>
          <w:lang w:eastAsia="zh-CN"/>
        </w:rPr>
        <w:t>Lout,max = 10 for 40&lt;Max(TDRX,TSSB)≤320</w:t>
      </w:r>
    </w:p>
    <w:p>
      <w:pPr>
        <w:rPr>
          <w:rFonts w:hint="eastAsia"/>
          <w:b/>
          <w:sz w:val="22"/>
          <w:lang w:eastAsia="zh-CN"/>
        </w:rPr>
      </w:pPr>
      <w:r>
        <w:rPr>
          <w:rFonts w:hint="eastAsia"/>
          <w:b/>
          <w:sz w:val="22"/>
          <w:lang w:eastAsia="zh-CN"/>
        </w:rPr>
        <w:t>Lout,max = 6 for TDRX&gt;320</w:t>
      </w:r>
    </w:p>
    <w:p>
      <w:pPr>
        <w:rPr>
          <w:rFonts w:hint="eastAsia"/>
          <w:b/>
          <w:sz w:val="22"/>
          <w:lang w:eastAsia="zh-CN"/>
        </w:rPr>
      </w:pPr>
      <w:r>
        <w:rPr>
          <w:rFonts w:hint="eastAsia"/>
          <w:b/>
          <w:sz w:val="22"/>
          <w:lang w:eastAsia="zh-CN"/>
        </w:rPr>
        <w:t>Upon exceeding Lout,max for one RLM-RS resource the UE behaviour is the same as if the radio link quality for this RLM-RS resource were below Qout.</w:t>
      </w:r>
    </w:p>
    <w:p>
      <w:pPr>
        <w:rPr>
          <w:rFonts w:hint="default"/>
          <w:b/>
          <w:sz w:val="22"/>
          <w:lang w:val="en-US" w:eastAsia="zh-CN"/>
        </w:rPr>
      </w:pPr>
      <w:r>
        <w:rPr>
          <w:rFonts w:hint="eastAsia"/>
          <w:b/>
          <w:sz w:val="22"/>
          <w:lang w:eastAsia="zh-CN"/>
        </w:rPr>
        <w:t xml:space="preserve">Proposal </w:t>
      </w:r>
      <w:r>
        <w:rPr>
          <w:rFonts w:hint="eastAsia"/>
          <w:b/>
          <w:sz w:val="22"/>
          <w:lang w:val="en-US" w:eastAsia="zh-CN"/>
        </w:rPr>
        <w:t>5</w:t>
      </w:r>
      <w:r>
        <w:rPr>
          <w:rFonts w:hint="eastAsia"/>
          <w:b/>
          <w:sz w:val="22"/>
          <w:lang w:eastAsia="zh-CN"/>
        </w:rPr>
        <w:t>: For CSI-RS based RLM under NR-U, re-use the designs for SSB based RLM under NR-U</w:t>
      </w:r>
      <w:r>
        <w:rPr>
          <w:rFonts w:hint="eastAsia"/>
          <w:b/>
          <w:sz w:val="22"/>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eastAsia="zh-CN"/>
        </w:rPr>
        <w:t xml:space="preserve">R4-2008567, WF on NR-U RRM requirements (Part </w:t>
      </w:r>
      <w:r>
        <w:rPr>
          <w:rFonts w:hint="eastAsia" w:eastAsia="宋体"/>
          <w:lang w:val="en-US" w:eastAsia="zh-CN"/>
        </w:rPr>
        <w:t>2</w:t>
      </w:r>
      <w:r>
        <w:rPr>
          <w:rFonts w:hint="eastAsia" w:eastAsia="宋体"/>
          <w:lang w:eastAsia="zh-CN"/>
        </w:rPr>
        <w:t>)</w:t>
      </w:r>
    </w:p>
    <w:p>
      <w:pPr>
        <w:numPr>
          <w:ilvl w:val="0"/>
          <w:numId w:val="7"/>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43E9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456B0"/>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000117"/>
    <w:rsid w:val="02B274E2"/>
    <w:rsid w:val="02C25D33"/>
    <w:rsid w:val="03902DCB"/>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63678"/>
    <w:rsid w:val="0868025F"/>
    <w:rsid w:val="0873226E"/>
    <w:rsid w:val="08935729"/>
    <w:rsid w:val="08BE1B81"/>
    <w:rsid w:val="08C654D4"/>
    <w:rsid w:val="08CC5D10"/>
    <w:rsid w:val="092C45E6"/>
    <w:rsid w:val="099F556C"/>
    <w:rsid w:val="09C53EB5"/>
    <w:rsid w:val="09C640C3"/>
    <w:rsid w:val="0A5763D4"/>
    <w:rsid w:val="0A7BF868"/>
    <w:rsid w:val="0B2F05F5"/>
    <w:rsid w:val="0B7322DC"/>
    <w:rsid w:val="0BB77882"/>
    <w:rsid w:val="0C3C5307"/>
    <w:rsid w:val="0C56263C"/>
    <w:rsid w:val="0C5E2B8A"/>
    <w:rsid w:val="0D102274"/>
    <w:rsid w:val="0DA958CA"/>
    <w:rsid w:val="0DF104D3"/>
    <w:rsid w:val="0DFD5E7B"/>
    <w:rsid w:val="0E1C586B"/>
    <w:rsid w:val="0E5237AB"/>
    <w:rsid w:val="0ED138E6"/>
    <w:rsid w:val="0EED584B"/>
    <w:rsid w:val="0F67780F"/>
    <w:rsid w:val="0F8F3C2A"/>
    <w:rsid w:val="0FB648CB"/>
    <w:rsid w:val="0FD0731A"/>
    <w:rsid w:val="0FF1533A"/>
    <w:rsid w:val="0FFE0AFA"/>
    <w:rsid w:val="100578DD"/>
    <w:rsid w:val="10AA3C13"/>
    <w:rsid w:val="10CD0B75"/>
    <w:rsid w:val="110C4D24"/>
    <w:rsid w:val="11E0599B"/>
    <w:rsid w:val="11F378D9"/>
    <w:rsid w:val="122017FC"/>
    <w:rsid w:val="128409CA"/>
    <w:rsid w:val="12BB3A94"/>
    <w:rsid w:val="12EF585C"/>
    <w:rsid w:val="13262572"/>
    <w:rsid w:val="136D11EC"/>
    <w:rsid w:val="137D50D6"/>
    <w:rsid w:val="139B3B65"/>
    <w:rsid w:val="13D36053"/>
    <w:rsid w:val="13F75352"/>
    <w:rsid w:val="1480544B"/>
    <w:rsid w:val="14B36B91"/>
    <w:rsid w:val="14D254D7"/>
    <w:rsid w:val="15F0170C"/>
    <w:rsid w:val="164F667E"/>
    <w:rsid w:val="165D0583"/>
    <w:rsid w:val="16654289"/>
    <w:rsid w:val="16DB79C9"/>
    <w:rsid w:val="170A55AB"/>
    <w:rsid w:val="17141F2D"/>
    <w:rsid w:val="17A076C4"/>
    <w:rsid w:val="17A62BCE"/>
    <w:rsid w:val="17E826AB"/>
    <w:rsid w:val="186E3DFF"/>
    <w:rsid w:val="18D3414F"/>
    <w:rsid w:val="18D91924"/>
    <w:rsid w:val="18E7333F"/>
    <w:rsid w:val="19A96435"/>
    <w:rsid w:val="1A0B3A21"/>
    <w:rsid w:val="1B3329B5"/>
    <w:rsid w:val="1B46096D"/>
    <w:rsid w:val="1B7F155B"/>
    <w:rsid w:val="1BEE71E3"/>
    <w:rsid w:val="1C1448F9"/>
    <w:rsid w:val="1C3D6DD1"/>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626ADF"/>
    <w:rsid w:val="21765E3F"/>
    <w:rsid w:val="219E74A3"/>
    <w:rsid w:val="220539DF"/>
    <w:rsid w:val="22571B82"/>
    <w:rsid w:val="22920D1D"/>
    <w:rsid w:val="22C0245E"/>
    <w:rsid w:val="23514077"/>
    <w:rsid w:val="23855295"/>
    <w:rsid w:val="23B20773"/>
    <w:rsid w:val="23CF6D67"/>
    <w:rsid w:val="244A4DE5"/>
    <w:rsid w:val="248F188B"/>
    <w:rsid w:val="24E91488"/>
    <w:rsid w:val="24FC3902"/>
    <w:rsid w:val="25077EC5"/>
    <w:rsid w:val="25151459"/>
    <w:rsid w:val="25962669"/>
    <w:rsid w:val="25C20278"/>
    <w:rsid w:val="262D62D9"/>
    <w:rsid w:val="26681CAB"/>
    <w:rsid w:val="267E5FCE"/>
    <w:rsid w:val="274858B7"/>
    <w:rsid w:val="27572E0B"/>
    <w:rsid w:val="280C272A"/>
    <w:rsid w:val="28352D10"/>
    <w:rsid w:val="284E0592"/>
    <w:rsid w:val="284E33F7"/>
    <w:rsid w:val="287A3770"/>
    <w:rsid w:val="28D15232"/>
    <w:rsid w:val="291D6A72"/>
    <w:rsid w:val="293606FA"/>
    <w:rsid w:val="29517179"/>
    <w:rsid w:val="29A328E2"/>
    <w:rsid w:val="29E7086A"/>
    <w:rsid w:val="2A1219AD"/>
    <w:rsid w:val="2A394321"/>
    <w:rsid w:val="2AE26D3F"/>
    <w:rsid w:val="2AF8774D"/>
    <w:rsid w:val="2B0F6E62"/>
    <w:rsid w:val="2B1014DB"/>
    <w:rsid w:val="2B4E55E6"/>
    <w:rsid w:val="2B7579C5"/>
    <w:rsid w:val="2BB04900"/>
    <w:rsid w:val="2BCD64C2"/>
    <w:rsid w:val="2C3A3275"/>
    <w:rsid w:val="2C495744"/>
    <w:rsid w:val="2CAF041D"/>
    <w:rsid w:val="2CEE6B8D"/>
    <w:rsid w:val="2D0F62B6"/>
    <w:rsid w:val="2D233DAE"/>
    <w:rsid w:val="2D671ED4"/>
    <w:rsid w:val="2D8E403A"/>
    <w:rsid w:val="2D9E6FC9"/>
    <w:rsid w:val="2DA90891"/>
    <w:rsid w:val="2E0770FA"/>
    <w:rsid w:val="2E145F76"/>
    <w:rsid w:val="2E794887"/>
    <w:rsid w:val="2EA86D09"/>
    <w:rsid w:val="2F32226B"/>
    <w:rsid w:val="2F376D10"/>
    <w:rsid w:val="2FA231C5"/>
    <w:rsid w:val="3005182A"/>
    <w:rsid w:val="301D3582"/>
    <w:rsid w:val="30582389"/>
    <w:rsid w:val="308B65F2"/>
    <w:rsid w:val="3105629B"/>
    <w:rsid w:val="3117229F"/>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375662C"/>
    <w:rsid w:val="346E4104"/>
    <w:rsid w:val="3476470C"/>
    <w:rsid w:val="34D83C16"/>
    <w:rsid w:val="3509315E"/>
    <w:rsid w:val="351A4CC6"/>
    <w:rsid w:val="357B384E"/>
    <w:rsid w:val="35B01049"/>
    <w:rsid w:val="36522CDC"/>
    <w:rsid w:val="37705F34"/>
    <w:rsid w:val="377700B0"/>
    <w:rsid w:val="37846083"/>
    <w:rsid w:val="37915301"/>
    <w:rsid w:val="37AF7036"/>
    <w:rsid w:val="37E00E7E"/>
    <w:rsid w:val="37E726D4"/>
    <w:rsid w:val="380927B5"/>
    <w:rsid w:val="3876150B"/>
    <w:rsid w:val="392739EA"/>
    <w:rsid w:val="392D38AD"/>
    <w:rsid w:val="3946679B"/>
    <w:rsid w:val="394E6C1D"/>
    <w:rsid w:val="399A43EA"/>
    <w:rsid w:val="39AF2187"/>
    <w:rsid w:val="3A0F1960"/>
    <w:rsid w:val="3A166029"/>
    <w:rsid w:val="3A364B42"/>
    <w:rsid w:val="3AAE3A22"/>
    <w:rsid w:val="3AF216E5"/>
    <w:rsid w:val="3B30671A"/>
    <w:rsid w:val="3B5662AC"/>
    <w:rsid w:val="3B7E3F16"/>
    <w:rsid w:val="3BA205A3"/>
    <w:rsid w:val="3C020C60"/>
    <w:rsid w:val="3C727D51"/>
    <w:rsid w:val="3C802C1E"/>
    <w:rsid w:val="3CCE203C"/>
    <w:rsid w:val="3CFB1D56"/>
    <w:rsid w:val="3D0C1655"/>
    <w:rsid w:val="3D4E48C8"/>
    <w:rsid w:val="3D77737D"/>
    <w:rsid w:val="3DB81487"/>
    <w:rsid w:val="3DC04E13"/>
    <w:rsid w:val="3DD244E7"/>
    <w:rsid w:val="3E1907C2"/>
    <w:rsid w:val="3E5B41D6"/>
    <w:rsid w:val="3ECE16FA"/>
    <w:rsid w:val="3F072EB0"/>
    <w:rsid w:val="3FF55768"/>
    <w:rsid w:val="3FFA7D08"/>
    <w:rsid w:val="40566CBF"/>
    <w:rsid w:val="405B0BEF"/>
    <w:rsid w:val="407921CE"/>
    <w:rsid w:val="40C04FE0"/>
    <w:rsid w:val="41AA7137"/>
    <w:rsid w:val="41EC58FB"/>
    <w:rsid w:val="42153718"/>
    <w:rsid w:val="42381A71"/>
    <w:rsid w:val="426B0C9E"/>
    <w:rsid w:val="42841694"/>
    <w:rsid w:val="429266C7"/>
    <w:rsid w:val="42AF1322"/>
    <w:rsid w:val="42B30ACF"/>
    <w:rsid w:val="42E73C10"/>
    <w:rsid w:val="430903EA"/>
    <w:rsid w:val="432969A7"/>
    <w:rsid w:val="43901FC8"/>
    <w:rsid w:val="43EE582E"/>
    <w:rsid w:val="43FB3DA4"/>
    <w:rsid w:val="44022066"/>
    <w:rsid w:val="441C4006"/>
    <w:rsid w:val="4451437F"/>
    <w:rsid w:val="44707FDB"/>
    <w:rsid w:val="449E489D"/>
    <w:rsid w:val="44B24294"/>
    <w:rsid w:val="451019FB"/>
    <w:rsid w:val="455B13AC"/>
    <w:rsid w:val="45CF3CD0"/>
    <w:rsid w:val="460567D8"/>
    <w:rsid w:val="462E320B"/>
    <w:rsid w:val="462F25DF"/>
    <w:rsid w:val="46620161"/>
    <w:rsid w:val="47C304FD"/>
    <w:rsid w:val="47C357A6"/>
    <w:rsid w:val="47D77F02"/>
    <w:rsid w:val="487C3875"/>
    <w:rsid w:val="48977283"/>
    <w:rsid w:val="48FA3778"/>
    <w:rsid w:val="49896512"/>
    <w:rsid w:val="4996414B"/>
    <w:rsid w:val="49BA3D71"/>
    <w:rsid w:val="49DA5E42"/>
    <w:rsid w:val="4A5C70F1"/>
    <w:rsid w:val="4AAC4C0C"/>
    <w:rsid w:val="4AB61A05"/>
    <w:rsid w:val="4AF26B9D"/>
    <w:rsid w:val="4BB65435"/>
    <w:rsid w:val="4BCE1489"/>
    <w:rsid w:val="4BEA1EE4"/>
    <w:rsid w:val="4BFB2D49"/>
    <w:rsid w:val="4C293566"/>
    <w:rsid w:val="4C2E5FC9"/>
    <w:rsid w:val="4C723787"/>
    <w:rsid w:val="4CF05EAC"/>
    <w:rsid w:val="4D102CB4"/>
    <w:rsid w:val="4D8E1BE9"/>
    <w:rsid w:val="4D9E609E"/>
    <w:rsid w:val="4E0243C8"/>
    <w:rsid w:val="4EA61F19"/>
    <w:rsid w:val="4EB053BD"/>
    <w:rsid w:val="4EF8450A"/>
    <w:rsid w:val="4F150B2F"/>
    <w:rsid w:val="4F423635"/>
    <w:rsid w:val="4F775423"/>
    <w:rsid w:val="4FBC6FAF"/>
    <w:rsid w:val="4FDC68F3"/>
    <w:rsid w:val="50005DA1"/>
    <w:rsid w:val="502A6272"/>
    <w:rsid w:val="5041435B"/>
    <w:rsid w:val="50564CCA"/>
    <w:rsid w:val="505A1CB0"/>
    <w:rsid w:val="509778C7"/>
    <w:rsid w:val="50E55198"/>
    <w:rsid w:val="51773E2A"/>
    <w:rsid w:val="51C53170"/>
    <w:rsid w:val="5280421D"/>
    <w:rsid w:val="52BF27F0"/>
    <w:rsid w:val="52FC10E1"/>
    <w:rsid w:val="535E62F0"/>
    <w:rsid w:val="5361709F"/>
    <w:rsid w:val="53705401"/>
    <w:rsid w:val="53752E8D"/>
    <w:rsid w:val="537755FB"/>
    <w:rsid w:val="53832E83"/>
    <w:rsid w:val="53C44BEA"/>
    <w:rsid w:val="53D44A06"/>
    <w:rsid w:val="53D45151"/>
    <w:rsid w:val="540D782C"/>
    <w:rsid w:val="541363E5"/>
    <w:rsid w:val="542835DF"/>
    <w:rsid w:val="542F1421"/>
    <w:rsid w:val="544B51D2"/>
    <w:rsid w:val="544D013B"/>
    <w:rsid w:val="546C32BA"/>
    <w:rsid w:val="54AC4862"/>
    <w:rsid w:val="54D53DDB"/>
    <w:rsid w:val="55352F87"/>
    <w:rsid w:val="5553143F"/>
    <w:rsid w:val="55B42DC5"/>
    <w:rsid w:val="55CC7E5B"/>
    <w:rsid w:val="568F7E77"/>
    <w:rsid w:val="56C13DAD"/>
    <w:rsid w:val="56E81135"/>
    <w:rsid w:val="57622135"/>
    <w:rsid w:val="57895FC5"/>
    <w:rsid w:val="584947AF"/>
    <w:rsid w:val="586B2608"/>
    <w:rsid w:val="58E20C36"/>
    <w:rsid w:val="592C32D1"/>
    <w:rsid w:val="592D7AE2"/>
    <w:rsid w:val="593554F0"/>
    <w:rsid w:val="59C167F2"/>
    <w:rsid w:val="5A3078C5"/>
    <w:rsid w:val="5A344AD1"/>
    <w:rsid w:val="5AAC4CA7"/>
    <w:rsid w:val="5ACA11F3"/>
    <w:rsid w:val="5ADF3A74"/>
    <w:rsid w:val="5AE53367"/>
    <w:rsid w:val="5B0B0083"/>
    <w:rsid w:val="5BC0364C"/>
    <w:rsid w:val="5BC3228B"/>
    <w:rsid w:val="5C3B1FEA"/>
    <w:rsid w:val="5C6A01BF"/>
    <w:rsid w:val="5C79266D"/>
    <w:rsid w:val="5CE024D4"/>
    <w:rsid w:val="5CF62A1F"/>
    <w:rsid w:val="5D001CD3"/>
    <w:rsid w:val="5D041ECD"/>
    <w:rsid w:val="5D350598"/>
    <w:rsid w:val="5E2D4C21"/>
    <w:rsid w:val="5EE41E2E"/>
    <w:rsid w:val="5F0F00DA"/>
    <w:rsid w:val="60017F85"/>
    <w:rsid w:val="6045086B"/>
    <w:rsid w:val="60727CA6"/>
    <w:rsid w:val="60745B63"/>
    <w:rsid w:val="61051332"/>
    <w:rsid w:val="613A62EF"/>
    <w:rsid w:val="61FB2024"/>
    <w:rsid w:val="61FD6095"/>
    <w:rsid w:val="62302F88"/>
    <w:rsid w:val="62812953"/>
    <w:rsid w:val="629C7A1C"/>
    <w:rsid w:val="629D1B69"/>
    <w:rsid w:val="62B7743E"/>
    <w:rsid w:val="63D951AB"/>
    <w:rsid w:val="64116858"/>
    <w:rsid w:val="648D5222"/>
    <w:rsid w:val="64B2258D"/>
    <w:rsid w:val="65507733"/>
    <w:rsid w:val="65997784"/>
    <w:rsid w:val="65C64C37"/>
    <w:rsid w:val="661E18B5"/>
    <w:rsid w:val="665D5332"/>
    <w:rsid w:val="66716094"/>
    <w:rsid w:val="66AB371C"/>
    <w:rsid w:val="66AE1192"/>
    <w:rsid w:val="66C26880"/>
    <w:rsid w:val="66CA69C3"/>
    <w:rsid w:val="67DA4215"/>
    <w:rsid w:val="67E42DFA"/>
    <w:rsid w:val="680A09E1"/>
    <w:rsid w:val="6860443E"/>
    <w:rsid w:val="68EB3ADC"/>
    <w:rsid w:val="69462386"/>
    <w:rsid w:val="6A7016FE"/>
    <w:rsid w:val="6AB80C9A"/>
    <w:rsid w:val="6AFC6812"/>
    <w:rsid w:val="6B471B37"/>
    <w:rsid w:val="6B5E2EC6"/>
    <w:rsid w:val="6C2F6757"/>
    <w:rsid w:val="6C42065A"/>
    <w:rsid w:val="6C596529"/>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C323F9"/>
    <w:rsid w:val="70EA7511"/>
    <w:rsid w:val="71143E21"/>
    <w:rsid w:val="71207785"/>
    <w:rsid w:val="72166A04"/>
    <w:rsid w:val="72867A39"/>
    <w:rsid w:val="72E2440A"/>
    <w:rsid w:val="72EE3608"/>
    <w:rsid w:val="73000A7A"/>
    <w:rsid w:val="7327462F"/>
    <w:rsid w:val="732F59FD"/>
    <w:rsid w:val="73373876"/>
    <w:rsid w:val="734B5574"/>
    <w:rsid w:val="7355417D"/>
    <w:rsid w:val="736C3FBB"/>
    <w:rsid w:val="73A85DC8"/>
    <w:rsid w:val="73C32C41"/>
    <w:rsid w:val="73C91EB3"/>
    <w:rsid w:val="74345275"/>
    <w:rsid w:val="74573DE9"/>
    <w:rsid w:val="749638EE"/>
    <w:rsid w:val="749900DE"/>
    <w:rsid w:val="749E6443"/>
    <w:rsid w:val="74D53B99"/>
    <w:rsid w:val="75160EB1"/>
    <w:rsid w:val="754C1AAF"/>
    <w:rsid w:val="76991F3B"/>
    <w:rsid w:val="76D8737F"/>
    <w:rsid w:val="76E279D7"/>
    <w:rsid w:val="772E0626"/>
    <w:rsid w:val="7752184A"/>
    <w:rsid w:val="7754709D"/>
    <w:rsid w:val="776E285A"/>
    <w:rsid w:val="779E3171"/>
    <w:rsid w:val="77B02D8D"/>
    <w:rsid w:val="77C0093D"/>
    <w:rsid w:val="77C90B9C"/>
    <w:rsid w:val="77F06999"/>
    <w:rsid w:val="78384CBC"/>
    <w:rsid w:val="784258BF"/>
    <w:rsid w:val="78C92E58"/>
    <w:rsid w:val="793758F2"/>
    <w:rsid w:val="79DC6C3F"/>
    <w:rsid w:val="79ED4DBE"/>
    <w:rsid w:val="7A250260"/>
    <w:rsid w:val="7A787ECB"/>
    <w:rsid w:val="7A8B51CB"/>
    <w:rsid w:val="7AB507FA"/>
    <w:rsid w:val="7AC634CB"/>
    <w:rsid w:val="7C3A7105"/>
    <w:rsid w:val="7C41564D"/>
    <w:rsid w:val="7C8E16C9"/>
    <w:rsid w:val="7C95714F"/>
    <w:rsid w:val="7CB561C0"/>
    <w:rsid w:val="7CCC277F"/>
    <w:rsid w:val="7CE3033A"/>
    <w:rsid w:val="7D0A2590"/>
    <w:rsid w:val="7D182884"/>
    <w:rsid w:val="7D314581"/>
    <w:rsid w:val="7D54493D"/>
    <w:rsid w:val="7D550752"/>
    <w:rsid w:val="7D6A7A29"/>
    <w:rsid w:val="7DCC5A45"/>
    <w:rsid w:val="7E8B6D0C"/>
    <w:rsid w:val="7E9E065C"/>
    <w:rsid w:val="7F285EA4"/>
    <w:rsid w:val="7F400D9D"/>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Autospacing="1" w:after="0" w:afterAutospacing="1"/>
    </w:pPr>
    <w:rPr>
      <w:rFonts w:cs="Times New Roman"/>
      <w:sz w:val="24"/>
      <w:lang w:eastAsia="zh-CN"/>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1"/>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1"/>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22A4E9C8-2EEB-47AB-836E-CEBE056216EE}">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604</Words>
  <Characters>3447</Characters>
  <Lines>28</Lines>
  <Paragraphs>8</Paragraphs>
  <TotalTime>0</TotalTime>
  <ScaleCrop>false</ScaleCrop>
  <LinksUpToDate>false</LinksUpToDate>
  <CharactersWithSpaces>4043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2020-08-06T07:51:10Z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